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95" w:rsidRPr="00FC150D" w:rsidRDefault="00506695" w:rsidP="00A43998">
      <w:pPr>
        <w:autoSpaceDE w:val="0"/>
        <w:autoSpaceDN w:val="0"/>
        <w:adjustRightInd w:val="0"/>
        <w:jc w:val="right"/>
        <w:outlineLvl w:val="1"/>
        <w:rPr>
          <w:color w:val="0D0D0D" w:themeColor="text1" w:themeTint="F2"/>
          <w:sz w:val="20"/>
          <w:szCs w:val="20"/>
        </w:rPr>
      </w:pPr>
      <w:r w:rsidRPr="00FC150D">
        <w:rPr>
          <w:color w:val="0D0D0D" w:themeColor="text1" w:themeTint="F2"/>
          <w:sz w:val="20"/>
          <w:szCs w:val="20"/>
        </w:rPr>
        <w:t xml:space="preserve">Приложение </w:t>
      </w:r>
      <w:r w:rsidR="00737E7F" w:rsidRPr="00FC150D">
        <w:rPr>
          <w:color w:val="0D0D0D" w:themeColor="text1" w:themeTint="F2"/>
          <w:sz w:val="20"/>
          <w:szCs w:val="20"/>
        </w:rPr>
        <w:t>3</w:t>
      </w:r>
    </w:p>
    <w:p w:rsidR="005327EE" w:rsidRDefault="005327EE" w:rsidP="00061A97">
      <w:pPr>
        <w:autoSpaceDE w:val="0"/>
        <w:autoSpaceDN w:val="0"/>
        <w:adjustRightInd w:val="0"/>
        <w:jc w:val="center"/>
        <w:rPr>
          <w:color w:val="0D0D0D" w:themeColor="text1" w:themeTint="F2"/>
          <w:sz w:val="28"/>
          <w:szCs w:val="28"/>
        </w:rPr>
      </w:pPr>
    </w:p>
    <w:p w:rsidR="00061A97" w:rsidRPr="00D80811" w:rsidRDefault="00061A97" w:rsidP="00061A97">
      <w:pPr>
        <w:autoSpaceDE w:val="0"/>
        <w:autoSpaceDN w:val="0"/>
        <w:adjustRightInd w:val="0"/>
        <w:jc w:val="center"/>
        <w:rPr>
          <w:b/>
          <w:bCs/>
          <w:color w:val="0D0D0D" w:themeColor="text1" w:themeTint="F2"/>
          <w:sz w:val="28"/>
          <w:szCs w:val="28"/>
        </w:rPr>
      </w:pPr>
      <w:r w:rsidRPr="00D80811">
        <w:rPr>
          <w:b/>
          <w:bCs/>
          <w:color w:val="0D0D0D" w:themeColor="text1" w:themeTint="F2"/>
          <w:sz w:val="28"/>
          <w:szCs w:val="28"/>
        </w:rPr>
        <w:t>Фактические значения</w:t>
      </w:r>
      <w:r w:rsidR="00B56778">
        <w:rPr>
          <w:b/>
          <w:bCs/>
          <w:color w:val="0D0D0D" w:themeColor="text1" w:themeTint="F2"/>
          <w:sz w:val="28"/>
          <w:szCs w:val="28"/>
        </w:rPr>
        <w:t xml:space="preserve"> </w:t>
      </w:r>
      <w:r w:rsidRPr="00D80811">
        <w:rPr>
          <w:b/>
          <w:bCs/>
          <w:color w:val="0D0D0D" w:themeColor="text1" w:themeTint="F2"/>
          <w:sz w:val="28"/>
          <w:szCs w:val="28"/>
        </w:rPr>
        <w:t>основных показателей деятельности</w:t>
      </w:r>
    </w:p>
    <w:p w:rsidR="00506695" w:rsidRPr="00D80811" w:rsidRDefault="00061A97" w:rsidP="00061A97">
      <w:pPr>
        <w:autoSpaceDE w:val="0"/>
        <w:autoSpaceDN w:val="0"/>
        <w:adjustRightInd w:val="0"/>
        <w:jc w:val="center"/>
        <w:rPr>
          <w:b/>
          <w:bCs/>
          <w:color w:val="0D0D0D" w:themeColor="text1" w:themeTint="F2"/>
          <w:sz w:val="28"/>
          <w:szCs w:val="28"/>
        </w:rPr>
      </w:pPr>
      <w:r w:rsidRPr="00D80811">
        <w:rPr>
          <w:b/>
          <w:bCs/>
          <w:color w:val="0D0D0D" w:themeColor="text1" w:themeTint="F2"/>
          <w:sz w:val="28"/>
          <w:szCs w:val="28"/>
        </w:rPr>
        <w:t>Департамента информационных технологий</w:t>
      </w:r>
      <w:r w:rsidR="00194EB7" w:rsidRPr="00D80811">
        <w:rPr>
          <w:b/>
          <w:bCs/>
          <w:color w:val="0D0D0D" w:themeColor="text1" w:themeTint="F2"/>
          <w:sz w:val="28"/>
          <w:szCs w:val="28"/>
        </w:rPr>
        <w:t xml:space="preserve"> </w:t>
      </w:r>
      <w:r w:rsidRPr="00D80811">
        <w:rPr>
          <w:b/>
          <w:bCs/>
          <w:color w:val="0D0D0D" w:themeColor="text1" w:themeTint="F2"/>
          <w:sz w:val="28"/>
          <w:szCs w:val="28"/>
        </w:rPr>
        <w:t>Ханты-Мансийского автономного округа – Югры</w:t>
      </w:r>
    </w:p>
    <w:p w:rsidR="00DB0114" w:rsidRDefault="00B63D6D" w:rsidP="00B63D6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B4067">
        <w:rPr>
          <w:b/>
          <w:sz w:val="28"/>
          <w:szCs w:val="28"/>
        </w:rPr>
        <w:t xml:space="preserve">по </w:t>
      </w:r>
      <w:r w:rsidRPr="00BB4067">
        <w:rPr>
          <w:b/>
          <w:color w:val="000000" w:themeColor="text1"/>
          <w:sz w:val="28"/>
          <w:szCs w:val="28"/>
        </w:rPr>
        <w:t xml:space="preserve">целевой программе Ханты-Мансийского автономного округа – Югры </w:t>
      </w:r>
    </w:p>
    <w:p w:rsidR="00B63D6D" w:rsidRPr="00DB0114" w:rsidRDefault="00B63D6D" w:rsidP="00B63D6D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B4067">
        <w:rPr>
          <w:b/>
          <w:color w:val="000000" w:themeColor="text1"/>
          <w:sz w:val="28"/>
          <w:szCs w:val="28"/>
        </w:rPr>
        <w:t xml:space="preserve">«Информационное общество – Югра» на 2011 – 2015 годы» </w:t>
      </w:r>
    </w:p>
    <w:p w:rsidR="00F619EF" w:rsidRDefault="00F619EF" w:rsidP="00061A97">
      <w:pPr>
        <w:autoSpaceDE w:val="0"/>
        <w:autoSpaceDN w:val="0"/>
        <w:adjustRightInd w:val="0"/>
        <w:jc w:val="center"/>
        <w:rPr>
          <w:color w:val="0D0D0D" w:themeColor="text1" w:themeTint="F2"/>
          <w:sz w:val="28"/>
          <w:szCs w:val="28"/>
        </w:rPr>
      </w:pPr>
    </w:p>
    <w:tbl>
      <w:tblPr>
        <w:tblW w:w="51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4"/>
        <w:gridCol w:w="1382"/>
        <w:gridCol w:w="1564"/>
      </w:tblGrid>
      <w:tr w:rsidR="00A43998" w:rsidRPr="007F685C" w:rsidTr="00A43998">
        <w:trPr>
          <w:trHeight w:val="77"/>
        </w:trPr>
        <w:tc>
          <w:tcPr>
            <w:tcW w:w="4045" w:type="pct"/>
            <w:vMerge w:val="restart"/>
            <w:shd w:val="clear" w:color="000000" w:fill="FFFFFF"/>
          </w:tcPr>
          <w:p w:rsidR="00737E7F" w:rsidRPr="007F685C" w:rsidRDefault="00737E7F" w:rsidP="00134697">
            <w:pPr>
              <w:jc w:val="center"/>
              <w:rPr>
                <w:b/>
              </w:rPr>
            </w:pPr>
          </w:p>
        </w:tc>
        <w:tc>
          <w:tcPr>
            <w:tcW w:w="448" w:type="pct"/>
            <w:vMerge w:val="restart"/>
            <w:shd w:val="clear" w:color="000000" w:fill="FFFFFF"/>
          </w:tcPr>
          <w:p w:rsidR="00737E7F" w:rsidRPr="007F685C" w:rsidRDefault="00737E7F" w:rsidP="00B56778">
            <w:pPr>
              <w:jc w:val="center"/>
              <w:rPr>
                <w:b/>
              </w:rPr>
            </w:pPr>
            <w:r w:rsidRPr="007F685C">
              <w:rPr>
                <w:b/>
              </w:rPr>
              <w:t>Ед. изм.</w:t>
            </w:r>
          </w:p>
        </w:tc>
        <w:tc>
          <w:tcPr>
            <w:tcW w:w="506" w:type="pct"/>
            <w:shd w:val="clear" w:color="000000" w:fill="FFFFFF"/>
          </w:tcPr>
          <w:p w:rsidR="00737E7F" w:rsidRPr="007F685C" w:rsidRDefault="00FC150D" w:rsidP="00737E7F">
            <w:pPr>
              <w:pStyle w:val="ConsPlusCell"/>
              <w:widowControl/>
              <w:tabs>
                <w:tab w:val="left" w:pos="1217"/>
              </w:tabs>
              <w:ind w:left="78" w:hanging="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Отчё</w:t>
            </w:r>
            <w:r w:rsidR="00737E7F" w:rsidRPr="007F685C">
              <w:rPr>
                <w:rFonts w:ascii="Times New Roman" w:hAnsi="Times New Roman" w:cs="Times New Roman"/>
                <w:b/>
                <w:sz w:val="24"/>
                <w:szCs w:val="24"/>
              </w:rPr>
              <w:t>тный период</w:t>
            </w:r>
          </w:p>
        </w:tc>
      </w:tr>
      <w:tr w:rsidR="00A43998" w:rsidRPr="007F685C" w:rsidTr="00A43998">
        <w:trPr>
          <w:trHeight w:val="90"/>
        </w:trPr>
        <w:tc>
          <w:tcPr>
            <w:tcW w:w="4045" w:type="pct"/>
            <w:vMerge/>
            <w:shd w:val="clear" w:color="000000" w:fill="FFFFFF"/>
          </w:tcPr>
          <w:p w:rsidR="00737E7F" w:rsidRPr="007F685C" w:rsidRDefault="00737E7F" w:rsidP="00B56778">
            <w:pPr>
              <w:rPr>
                <w:b/>
              </w:rPr>
            </w:pPr>
          </w:p>
        </w:tc>
        <w:tc>
          <w:tcPr>
            <w:tcW w:w="448" w:type="pct"/>
            <w:vMerge/>
            <w:shd w:val="clear" w:color="000000" w:fill="FFFFFF"/>
          </w:tcPr>
          <w:p w:rsidR="00737E7F" w:rsidRPr="007F685C" w:rsidRDefault="00737E7F" w:rsidP="00B56778">
            <w:pPr>
              <w:jc w:val="center"/>
              <w:rPr>
                <w:b/>
              </w:rPr>
            </w:pPr>
          </w:p>
        </w:tc>
        <w:tc>
          <w:tcPr>
            <w:tcW w:w="506" w:type="pct"/>
            <w:shd w:val="clear" w:color="000000" w:fill="FFFFFF"/>
          </w:tcPr>
          <w:p w:rsidR="00737E7F" w:rsidRPr="007F685C" w:rsidRDefault="00737E7F" w:rsidP="00B567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85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F68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C150D">
              <w:rPr>
                <w:rFonts w:ascii="Times New Roman" w:hAnsi="Times New Roman" w:cs="Times New Roman"/>
                <w:b/>
                <w:sz w:val="24"/>
                <w:szCs w:val="24"/>
              </w:rPr>
              <w:t>3 год</w:t>
            </w:r>
          </w:p>
        </w:tc>
      </w:tr>
      <w:tr w:rsidR="00737E7F" w:rsidRPr="008C01F5" w:rsidTr="00A43998">
        <w:trPr>
          <w:trHeight w:val="77"/>
        </w:trPr>
        <w:tc>
          <w:tcPr>
            <w:tcW w:w="5000" w:type="pct"/>
            <w:gridSpan w:val="3"/>
            <w:shd w:val="clear" w:color="000000" w:fill="FFFFFF"/>
          </w:tcPr>
          <w:p w:rsidR="00737E7F" w:rsidRPr="008C01F5" w:rsidRDefault="00737E7F" w:rsidP="00B5677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F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Управление развитием информационного общества и формированием электронного правительства</w:t>
            </w:r>
          </w:p>
        </w:tc>
      </w:tr>
      <w:tr w:rsidR="00A43998" w:rsidRPr="008C01F5" w:rsidTr="00A43998">
        <w:trPr>
          <w:trHeight w:val="381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>Количество нормативных правовых актов и организационно-методических документов автономного округа, регулирующих вопросы развития информационного общества и электронного правительства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ш</w:t>
            </w:r>
            <w:r w:rsidRPr="008C01F5">
              <w:t>т</w:t>
            </w:r>
            <w:r>
              <w:t>ук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51</w:t>
            </w:r>
          </w:p>
        </w:tc>
      </w:tr>
      <w:tr w:rsidR="00A43998" w:rsidRPr="008C01F5" w:rsidTr="00A43998">
        <w:trPr>
          <w:trHeight w:val="96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Доля обрабатываемых паспортов учреждений социальной сферы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60</w:t>
            </w:r>
          </w:p>
        </w:tc>
      </w:tr>
      <w:tr w:rsidR="00A43998" w:rsidRPr="008C01F5" w:rsidTr="00A43998">
        <w:trPr>
          <w:trHeight w:val="96"/>
        </w:trPr>
        <w:tc>
          <w:tcPr>
            <w:tcW w:w="4045" w:type="pct"/>
            <w:shd w:val="clear" w:color="000000" w:fill="FFFFFF"/>
          </w:tcPr>
          <w:p w:rsidR="00737E7F" w:rsidRPr="00DB0114" w:rsidRDefault="00737E7F" w:rsidP="00FC150D">
            <w:r w:rsidRPr="00DB0114">
              <w:t>Место Ханты-Мансийского автономного округа – Югры в рейтинге готовности к информационному обществу</w:t>
            </w:r>
          </w:p>
        </w:tc>
        <w:tc>
          <w:tcPr>
            <w:tcW w:w="448" w:type="pct"/>
            <w:shd w:val="clear" w:color="000000" w:fill="FFFFFF"/>
          </w:tcPr>
          <w:p w:rsidR="00737E7F" w:rsidRPr="00DB0114" w:rsidRDefault="00DB0114" w:rsidP="00B56778">
            <w:pPr>
              <w:jc w:val="center"/>
            </w:pPr>
            <w:r w:rsidRPr="00DB0114">
              <w:t>–</w:t>
            </w:r>
          </w:p>
        </w:tc>
        <w:tc>
          <w:tcPr>
            <w:tcW w:w="506" w:type="pct"/>
            <w:shd w:val="clear" w:color="000000" w:fill="FFFFFF"/>
          </w:tcPr>
          <w:p w:rsidR="00737E7F" w:rsidRPr="005D09B1" w:rsidRDefault="00DB0114" w:rsidP="00B56778">
            <w:pPr>
              <w:jc w:val="center"/>
            </w:pPr>
            <w:r w:rsidRPr="00DB0114">
              <w:t>4</w:t>
            </w:r>
          </w:p>
        </w:tc>
      </w:tr>
      <w:tr w:rsidR="00A43998" w:rsidRPr="008C01F5" w:rsidTr="00A43998">
        <w:trPr>
          <w:trHeight w:val="52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>Доля заказов на поставки товаров, выполнение работ и оказание услуг для государственных и муниципальных нужд самоуправления с использованием электр</w:t>
            </w:r>
            <w:bookmarkStart w:id="0" w:name="_GoBack"/>
            <w:bookmarkEnd w:id="0"/>
            <w:r w:rsidRPr="008C01F5">
              <w:t>онных торговых площадок в общем объеме размещаемых заказов</w:t>
            </w:r>
          </w:p>
        </w:tc>
        <w:tc>
          <w:tcPr>
            <w:tcW w:w="448" w:type="pct"/>
            <w:shd w:val="clear" w:color="000000" w:fill="FFFFFF"/>
          </w:tcPr>
          <w:p w:rsidR="00737E7F" w:rsidRPr="00C6462B" w:rsidRDefault="00737E7F" w:rsidP="00B56778">
            <w:pPr>
              <w:jc w:val="center"/>
            </w:pPr>
            <w:r w:rsidRPr="00C6462B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C6462B" w:rsidRDefault="00737E7F" w:rsidP="00B56778">
            <w:pPr>
              <w:jc w:val="center"/>
            </w:pPr>
            <w:r>
              <w:t>88</w:t>
            </w:r>
          </w:p>
        </w:tc>
      </w:tr>
      <w:tr w:rsidR="00A43998" w:rsidRPr="008C01F5" w:rsidTr="00A43998">
        <w:trPr>
          <w:trHeight w:val="381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Количество населенных пунктов на территории Ханты-Мансийского автономного округа – Югры подключенных по высокоскоростным линиями связи пропускной способностью обеспечивающей не менее 2 Мбит/</w:t>
            </w:r>
            <w:proofErr w:type="gramStart"/>
            <w:r w:rsidRPr="008C01F5">
              <w:t>с</w:t>
            </w:r>
            <w:proofErr w:type="gramEnd"/>
            <w:r w:rsidRPr="008C01F5">
              <w:t xml:space="preserve"> на домохозяйство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ед</w:t>
            </w:r>
            <w:r>
              <w:t>иниц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53</w:t>
            </w:r>
          </w:p>
        </w:tc>
      </w:tr>
      <w:tr w:rsidR="00A43998" w:rsidRPr="008C01F5" w:rsidTr="00A43998">
        <w:trPr>
          <w:trHeight w:val="832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Количество жителей Ханты-Мансийского автономного округа – Югры, получивших навыки использования информационно-коммуникационных технологий, в том числе работников бюджетной сферы и выпускников учреждений профессионального образования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тысяч</w:t>
            </w:r>
            <w:r w:rsidRPr="008C01F5">
              <w:t xml:space="preserve"> человек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50</w:t>
            </w:r>
          </w:p>
        </w:tc>
      </w:tr>
      <w:tr w:rsidR="00A43998" w:rsidRPr="008C01F5" w:rsidTr="00A43998">
        <w:trPr>
          <w:trHeight w:val="685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Количество функционирующих центров общественного доступа на территории Ханты-Мансийского автономного округа – Югры, в том числе специализированных центров с возможностями для граждан с ограниченными возможностями здоровья и </w:t>
            </w:r>
            <w:proofErr w:type="gramStart"/>
            <w:r w:rsidRPr="008C01F5">
              <w:t>центров</w:t>
            </w:r>
            <w:proofErr w:type="gramEnd"/>
            <w:r w:rsidRPr="008C01F5">
              <w:t xml:space="preserve"> подключенных к сети Интернет с использованием спутниковых технологий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217</w:t>
            </w:r>
          </w:p>
        </w:tc>
      </w:tr>
      <w:tr w:rsidR="00A43998" w:rsidRPr="008C01F5" w:rsidTr="00A43998">
        <w:trPr>
          <w:trHeight w:val="469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Количество </w:t>
            </w:r>
            <w:proofErr w:type="gramStart"/>
            <w:r w:rsidRPr="008C01F5">
              <w:t>Интернет-центров</w:t>
            </w:r>
            <w:proofErr w:type="gramEnd"/>
            <w:r w:rsidRPr="008C01F5">
              <w:t xml:space="preserve"> шахматного мастерства на территории Ханты-Мансийского автономного округа – Югры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шт</w:t>
            </w:r>
            <w:r>
              <w:t>ук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52</w:t>
            </w:r>
          </w:p>
        </w:tc>
      </w:tr>
      <w:tr w:rsidR="00A43998" w:rsidRPr="008C01F5" w:rsidTr="00A43998">
        <w:trPr>
          <w:trHeight w:val="46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 xml:space="preserve">Доля населения Ханты-Мансийского автономного округа – Югры проживающего в населенных пунктах подключенных по высокоскоростным линиям связи пропускной способностью обеспечивающей не менее 2 Мбит/сна домохозяйство 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90</w:t>
            </w:r>
          </w:p>
        </w:tc>
      </w:tr>
      <w:tr w:rsidR="00A43998" w:rsidRPr="008C01F5" w:rsidTr="00A43998">
        <w:trPr>
          <w:trHeight w:val="188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Доля мер социальной поддержки, пособий и других денежных выплат, осуществляемых в автоматизированном режиме</w:t>
            </w:r>
          </w:p>
        </w:tc>
        <w:tc>
          <w:tcPr>
            <w:tcW w:w="448" w:type="pct"/>
            <w:shd w:val="clear" w:color="000000" w:fill="FFFFFF"/>
            <w:hideMark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  <w:hideMark/>
          </w:tcPr>
          <w:p w:rsidR="00737E7F" w:rsidRPr="008C01F5" w:rsidRDefault="00737E7F" w:rsidP="00B56778">
            <w:pPr>
              <w:jc w:val="center"/>
            </w:pPr>
            <w:r w:rsidRPr="008C01F5">
              <w:t>99</w:t>
            </w:r>
          </w:p>
        </w:tc>
      </w:tr>
      <w:tr w:rsidR="00A43998" w:rsidRPr="008C01F5" w:rsidTr="00A43998">
        <w:trPr>
          <w:trHeight w:val="549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Доля органов государственной власти и органов местного самоуправления муниципальных образований первого уровня автономного округа, использующих Территориальную информационную систему </w:t>
            </w:r>
            <w:r>
              <w:t xml:space="preserve">Ханты-Мансийского автономного округа – </w:t>
            </w:r>
            <w:r w:rsidRPr="008C01F5">
              <w:t xml:space="preserve">Югры </w:t>
            </w:r>
            <w:r>
              <w:t xml:space="preserve">(ТИС Югры) </w:t>
            </w:r>
            <w:r w:rsidRPr="008C01F5">
              <w:t xml:space="preserve">для поддержки принятия управленческих решений, ситуационного анализа и построения прогнозов 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407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lastRenderedPageBreak/>
              <w:t>Доля органов государственной власти автономного округа, осуществляющих обмен электронными образами документов с использованием единой межведомственной системы электронного документооборота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433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Доля муниципальных образований Ханты-Мансийского автономного округа – Югры, подключенных к корпоративной сети органов государственной власти 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77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Доля судебных участков, оснащенных комплексом взаимодействия с населением (информационные киоски, системы публикации информации в сети Интернет в автоматизированном режиме, системы демонстрации судебных материалов в мультимедийном формате) 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552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Доля муниципальных образований, включенных в автоматизированную систему формирования списков присяжных заседателей автономного округа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422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Количество созданных многофункциональных центров предоставления государственных и муниципальных услуг </w:t>
            </w:r>
            <w:proofErr w:type="gramStart"/>
            <w:r w:rsidRPr="008C01F5">
              <w:t>в</w:t>
            </w:r>
            <w:proofErr w:type="gramEnd"/>
            <w:r w:rsidRPr="008C01F5">
              <w:t xml:space="preserve"> </w:t>
            </w:r>
            <w:proofErr w:type="gramStart"/>
            <w:r w:rsidRPr="008C01F5">
              <w:t>Ханты-Мансийском</w:t>
            </w:r>
            <w:proofErr w:type="gramEnd"/>
            <w:r w:rsidRPr="008C01F5">
              <w:t xml:space="preserve"> автономном округе – Югре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штук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19</w:t>
            </w:r>
          </w:p>
        </w:tc>
      </w:tr>
      <w:tr w:rsidR="00A43998" w:rsidRPr="008C01F5" w:rsidTr="00A43998">
        <w:trPr>
          <w:trHeight w:val="433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>Количество услуг, оказываемых населению с использованием многофункциональных центров государственных и муниципальных услуг автономного округа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штук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175</w:t>
            </w:r>
          </w:p>
        </w:tc>
      </w:tr>
      <w:tr w:rsidR="00A43998" w:rsidRPr="008C01F5" w:rsidTr="00A43998">
        <w:trPr>
          <w:trHeight w:val="276"/>
        </w:trPr>
        <w:tc>
          <w:tcPr>
            <w:tcW w:w="4045" w:type="pct"/>
            <w:shd w:val="clear" w:color="000000" w:fill="FFFFFF"/>
            <w:hideMark/>
          </w:tcPr>
          <w:p w:rsidR="00737E7F" w:rsidRPr="008C01F5" w:rsidRDefault="00737E7F" w:rsidP="00FC150D">
            <w:r w:rsidRPr="008C01F5">
              <w:t xml:space="preserve">Общее количество пользователей функционирующих площадок на </w:t>
            </w:r>
            <w:proofErr w:type="spellStart"/>
            <w:r w:rsidRPr="008C01F5">
              <w:t>немедийных</w:t>
            </w:r>
            <w:proofErr w:type="spellEnd"/>
            <w:r w:rsidRPr="008C01F5">
              <w:t xml:space="preserve"> </w:t>
            </w:r>
            <w:proofErr w:type="spellStart"/>
            <w:r w:rsidRPr="008C01F5">
              <w:t>интернет-ресурсах</w:t>
            </w:r>
            <w:proofErr w:type="spellEnd"/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человек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130 431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 xml:space="preserve">Степень готовности к эксплуатации регионального сегмента данных Единой информационно-аналитической системы расчета, прогнозирования и анализа тарифов организаций регулируемой инфраструктуры на территории </w:t>
            </w:r>
            <w:r>
              <w:t xml:space="preserve">Ханты-Мансийского </w:t>
            </w:r>
            <w:r w:rsidRPr="008C01F5">
              <w:t>автономного округа</w:t>
            </w:r>
            <w:r>
              <w:t xml:space="preserve"> – Югры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>Доля государственных услуг, оказываемых населению автономного округа с использованием Единого портала государственных и муниципальных услуг (функций) Российской Федерации, в общем объеме государственных услуг автономного округа, подлежащих переводу в электронный вид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100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>
              <w:t>Доля граждан</w:t>
            </w:r>
            <w:r w:rsidRPr="008C01F5">
              <w:t>, имеющих доступ к получению государственных и муниципальных услуг по принципу «одного окна»</w:t>
            </w:r>
            <w:r>
              <w:t xml:space="preserve"> по месту пребывания</w:t>
            </w:r>
            <w:r w:rsidRPr="008C01F5">
              <w:t xml:space="preserve">, в том числе </w:t>
            </w:r>
            <w:r>
              <w:t>в многофункциональных центрах предоставления государственных услуг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81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>Доля жителей Ханты-Мансийского автономного округа – Югры,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 w:rsidRPr="008C01F5">
              <w:t>процентов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FC150D">
            <w:r w:rsidRPr="008C01F5">
              <w:t xml:space="preserve">Количество труднодоступных населенных пунктов автономного округа, в которых домохозяйства обеспечены возможностью доступа в сеть Интернет с использованием спутниковых технологий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штук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7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shd w:val="clear" w:color="000000" w:fill="FFFFFF"/>
          </w:tcPr>
          <w:p w:rsidR="00737E7F" w:rsidRPr="008C01F5" w:rsidRDefault="00737E7F" w:rsidP="00FC150D">
            <w:r w:rsidRPr="008C01F5">
              <w:t>Количество созданных региональных Центров космических услуг Ханты-Мансийского автономного округа – Югры</w:t>
            </w:r>
          </w:p>
        </w:tc>
        <w:tc>
          <w:tcPr>
            <w:tcW w:w="448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единиц</w:t>
            </w:r>
          </w:p>
        </w:tc>
        <w:tc>
          <w:tcPr>
            <w:tcW w:w="506" w:type="pct"/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</w:t>
            </w:r>
          </w:p>
        </w:tc>
      </w:tr>
      <w:tr w:rsidR="00A43998" w:rsidRPr="008C01F5" w:rsidTr="00A43998">
        <w:trPr>
          <w:trHeight w:val="149"/>
        </w:trPr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FC150D">
            <w:r w:rsidRPr="008C01F5">
              <w:t>Готовность РНИС Югры к навигационному мониторингу транспортных средств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тысяч единиц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7E7F" w:rsidRPr="008C01F5" w:rsidRDefault="00737E7F" w:rsidP="00B56778">
            <w:pPr>
              <w:jc w:val="center"/>
            </w:pPr>
            <w:r>
              <w:t>10</w:t>
            </w:r>
          </w:p>
        </w:tc>
      </w:tr>
    </w:tbl>
    <w:p w:rsidR="00B74066" w:rsidRPr="00FE7808" w:rsidRDefault="00B74066" w:rsidP="00FE7808">
      <w:pPr>
        <w:spacing w:line="276" w:lineRule="auto"/>
        <w:ind w:hanging="142"/>
        <w:jc w:val="both"/>
        <w:rPr>
          <w:color w:val="0D0D0D" w:themeColor="text1" w:themeTint="F2"/>
        </w:rPr>
      </w:pPr>
    </w:p>
    <w:sectPr w:rsidR="00B74066" w:rsidRPr="00FE7808" w:rsidSect="00A43998">
      <w:headerReference w:type="default" r:id="rId8"/>
      <w:pgSz w:w="16838" w:h="11906" w:orient="landscape"/>
      <w:pgMar w:top="705" w:right="820" w:bottom="850" w:left="1134" w:header="142" w:footer="28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13" w:rsidRDefault="00DF4E13">
      <w:r>
        <w:separator/>
      </w:r>
    </w:p>
  </w:endnote>
  <w:endnote w:type="continuationSeparator" w:id="0">
    <w:p w:rsidR="00DF4E13" w:rsidRDefault="00DF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13" w:rsidRDefault="00DF4E13">
      <w:r>
        <w:separator/>
      </w:r>
    </w:p>
  </w:footnote>
  <w:footnote w:type="continuationSeparator" w:id="0">
    <w:p w:rsidR="00DF4E13" w:rsidRDefault="00DF4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AC" w:rsidRDefault="002A50AC">
    <w:pPr>
      <w:pStyle w:val="a3"/>
      <w:jc w:val="center"/>
    </w:pPr>
  </w:p>
  <w:p w:rsidR="00B56778" w:rsidRDefault="00B567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695"/>
    <w:rsid w:val="00007272"/>
    <w:rsid w:val="00033F52"/>
    <w:rsid w:val="00054E7A"/>
    <w:rsid w:val="00061A97"/>
    <w:rsid w:val="00062D55"/>
    <w:rsid w:val="00077A2F"/>
    <w:rsid w:val="00095D66"/>
    <w:rsid w:val="000E0B03"/>
    <w:rsid w:val="000E4FDC"/>
    <w:rsid w:val="000F33F2"/>
    <w:rsid w:val="00117851"/>
    <w:rsid w:val="001240B4"/>
    <w:rsid w:val="00134697"/>
    <w:rsid w:val="00147415"/>
    <w:rsid w:val="00192C3B"/>
    <w:rsid w:val="00194EB7"/>
    <w:rsid w:val="002006CD"/>
    <w:rsid w:val="00225914"/>
    <w:rsid w:val="002731A3"/>
    <w:rsid w:val="002A50AC"/>
    <w:rsid w:val="002D5F60"/>
    <w:rsid w:val="003631F2"/>
    <w:rsid w:val="003813B5"/>
    <w:rsid w:val="003B4982"/>
    <w:rsid w:val="003E206E"/>
    <w:rsid w:val="004272C0"/>
    <w:rsid w:val="00432134"/>
    <w:rsid w:val="00453DC3"/>
    <w:rsid w:val="00454F25"/>
    <w:rsid w:val="00482925"/>
    <w:rsid w:val="004A4C83"/>
    <w:rsid w:val="004B2865"/>
    <w:rsid w:val="004C76B5"/>
    <w:rsid w:val="004C79C1"/>
    <w:rsid w:val="004E6C2B"/>
    <w:rsid w:val="00506695"/>
    <w:rsid w:val="005277D0"/>
    <w:rsid w:val="005327EE"/>
    <w:rsid w:val="00555527"/>
    <w:rsid w:val="0058374E"/>
    <w:rsid w:val="005B57B2"/>
    <w:rsid w:val="005B64E4"/>
    <w:rsid w:val="005D09B1"/>
    <w:rsid w:val="005E4F0D"/>
    <w:rsid w:val="005F40AA"/>
    <w:rsid w:val="00630DA4"/>
    <w:rsid w:val="00637189"/>
    <w:rsid w:val="006949B3"/>
    <w:rsid w:val="00723155"/>
    <w:rsid w:val="00737E7F"/>
    <w:rsid w:val="00746BED"/>
    <w:rsid w:val="00756B02"/>
    <w:rsid w:val="007727C2"/>
    <w:rsid w:val="00794E82"/>
    <w:rsid w:val="007B02CF"/>
    <w:rsid w:val="007B4B09"/>
    <w:rsid w:val="007C7090"/>
    <w:rsid w:val="007D27B8"/>
    <w:rsid w:val="007F685C"/>
    <w:rsid w:val="008115D3"/>
    <w:rsid w:val="00836BFF"/>
    <w:rsid w:val="00844B4C"/>
    <w:rsid w:val="00862766"/>
    <w:rsid w:val="00884829"/>
    <w:rsid w:val="008A792E"/>
    <w:rsid w:val="008C1C51"/>
    <w:rsid w:val="00933F3C"/>
    <w:rsid w:val="009349ED"/>
    <w:rsid w:val="00964DEF"/>
    <w:rsid w:val="00966385"/>
    <w:rsid w:val="009665F4"/>
    <w:rsid w:val="00974BD8"/>
    <w:rsid w:val="00980DFA"/>
    <w:rsid w:val="00993D35"/>
    <w:rsid w:val="009970B5"/>
    <w:rsid w:val="009A33BC"/>
    <w:rsid w:val="009A5AC0"/>
    <w:rsid w:val="009B6337"/>
    <w:rsid w:val="009E0F37"/>
    <w:rsid w:val="00A43998"/>
    <w:rsid w:val="00A453A6"/>
    <w:rsid w:val="00A57E72"/>
    <w:rsid w:val="00A63ABA"/>
    <w:rsid w:val="00A84025"/>
    <w:rsid w:val="00AA62B5"/>
    <w:rsid w:val="00AC2A99"/>
    <w:rsid w:val="00AC6DA5"/>
    <w:rsid w:val="00AE694B"/>
    <w:rsid w:val="00B50B88"/>
    <w:rsid w:val="00B56778"/>
    <w:rsid w:val="00B63D6D"/>
    <w:rsid w:val="00B6462E"/>
    <w:rsid w:val="00B74066"/>
    <w:rsid w:val="00B85BB7"/>
    <w:rsid w:val="00BA3349"/>
    <w:rsid w:val="00BC0244"/>
    <w:rsid w:val="00BF47C3"/>
    <w:rsid w:val="00C225D6"/>
    <w:rsid w:val="00C362C8"/>
    <w:rsid w:val="00C548A5"/>
    <w:rsid w:val="00C6462B"/>
    <w:rsid w:val="00CA7FD7"/>
    <w:rsid w:val="00CC0156"/>
    <w:rsid w:val="00CF7C83"/>
    <w:rsid w:val="00D01208"/>
    <w:rsid w:val="00D43CAF"/>
    <w:rsid w:val="00D80811"/>
    <w:rsid w:val="00DB0114"/>
    <w:rsid w:val="00DC47D3"/>
    <w:rsid w:val="00DE4742"/>
    <w:rsid w:val="00DF4E13"/>
    <w:rsid w:val="00DF7928"/>
    <w:rsid w:val="00E13C8A"/>
    <w:rsid w:val="00E25D49"/>
    <w:rsid w:val="00E33E86"/>
    <w:rsid w:val="00E47315"/>
    <w:rsid w:val="00EA6D18"/>
    <w:rsid w:val="00EC3C64"/>
    <w:rsid w:val="00ED1D41"/>
    <w:rsid w:val="00F60EB5"/>
    <w:rsid w:val="00F619EF"/>
    <w:rsid w:val="00F70487"/>
    <w:rsid w:val="00F756B4"/>
    <w:rsid w:val="00FA23F7"/>
    <w:rsid w:val="00FA3242"/>
    <w:rsid w:val="00FB5DF6"/>
    <w:rsid w:val="00FC150D"/>
    <w:rsid w:val="00FE3E67"/>
    <w:rsid w:val="00FE7808"/>
    <w:rsid w:val="00FF1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066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06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66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4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4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23D9C-549F-4F9D-8352-19AA9CAE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GrasmikEA</cp:lastModifiedBy>
  <cp:revision>9</cp:revision>
  <cp:lastPrinted>2014-02-18T10:20:00Z</cp:lastPrinted>
  <dcterms:created xsi:type="dcterms:W3CDTF">2014-11-26T06:02:00Z</dcterms:created>
  <dcterms:modified xsi:type="dcterms:W3CDTF">2014-12-04T04:31:00Z</dcterms:modified>
</cp:coreProperties>
</file>